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43" w:rsidRDefault="002E3121">
      <w:pPr>
        <w:rPr>
          <w:b/>
          <w:sz w:val="32"/>
        </w:rPr>
      </w:pPr>
      <w:r w:rsidRPr="002E3121">
        <w:rPr>
          <w:b/>
          <w:sz w:val="32"/>
        </w:rPr>
        <w:t>Lab 10 – Activity Series Results</w:t>
      </w:r>
    </w:p>
    <w:p w:rsidR="002E3121" w:rsidRDefault="002E3121"/>
    <w:p w:rsidR="002E3121" w:rsidRDefault="002E3121">
      <w:r>
        <w:t xml:space="preserve">Use the following pictures to complete the activity series lab.  </w:t>
      </w:r>
    </w:p>
    <w:p w:rsidR="002E3121" w:rsidRDefault="002E3121"/>
    <w:p w:rsidR="002E3121" w:rsidRDefault="002E3121">
      <w:r>
        <w:t>Solutions and Metals:</w:t>
      </w:r>
    </w:p>
    <w:p w:rsidR="002E3121" w:rsidRDefault="002E3121" w:rsidP="002E3121">
      <w:pPr>
        <w:jc w:val="center"/>
      </w:pPr>
      <w:r>
        <w:rPr>
          <w:noProof/>
          <w:lang w:val="en-US"/>
        </w:rPr>
        <w:drawing>
          <wp:inline distT="0" distB="0" distL="0" distR="0">
            <wp:extent cx="4922520" cy="4771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315_113844.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922520" cy="4771468"/>
                    </a:xfrm>
                    <a:prstGeom prst="rect">
                      <a:avLst/>
                    </a:prstGeom>
                    <a:ln>
                      <a:noFill/>
                    </a:ln>
                    <a:extLst>
                      <a:ext uri="{53640926-AAD7-44D8-BBD7-CCE9431645EC}">
                        <a14:shadowObscured xmlns:a14="http://schemas.microsoft.com/office/drawing/2010/main"/>
                      </a:ext>
                    </a:extLst>
                  </pic:spPr>
                </pic:pic>
              </a:graphicData>
            </a:graphic>
          </wp:inline>
        </w:drawing>
      </w:r>
    </w:p>
    <w:p w:rsidR="00D6661F" w:rsidRDefault="00D6661F">
      <w:pPr>
        <w:spacing w:after="160"/>
      </w:pPr>
    </w:p>
    <w:p w:rsidR="00D6661F" w:rsidRDefault="00D6661F" w:rsidP="00D6661F">
      <w:pPr>
        <w:spacing w:after="160"/>
        <w:jc w:val="both"/>
      </w:pPr>
      <w:r>
        <w:t xml:space="preserve">On the following pages are the combinations after the metals have been allowed to react for an extended period of time.  </w:t>
      </w:r>
    </w:p>
    <w:p w:rsidR="002E3121" w:rsidRDefault="00D6661F" w:rsidP="00D6661F">
      <w:pPr>
        <w:spacing w:after="160"/>
        <w:jc w:val="both"/>
      </w:pPr>
      <w:r>
        <w:t xml:space="preserve">Note that one solution will react with all three metals, one solution will react with two metals, one solution will react with one metal, and one solution will react with no metals and vice versa for the metals.  </w:t>
      </w:r>
      <w:r w:rsidR="002E3121">
        <w:br w:type="page"/>
      </w:r>
      <w:bookmarkStart w:id="0" w:name="_GoBack"/>
      <w:bookmarkEnd w:id="0"/>
    </w:p>
    <w:p w:rsidR="002E3121" w:rsidRDefault="002E3121" w:rsidP="002E3121">
      <w:pPr>
        <w:jc w:val="both"/>
      </w:pPr>
      <w:r>
        <w:rPr>
          <w:noProof/>
          <w:lang w:val="en-US"/>
        </w:rPr>
        <w:lastRenderedPageBreak/>
        <w:drawing>
          <wp:inline distT="0" distB="0" distL="0" distR="0">
            <wp:extent cx="4719003" cy="25450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315_120328.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719003" cy="254508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886"/>
        <w:gridCol w:w="1886"/>
        <w:gridCol w:w="1886"/>
        <w:gridCol w:w="1886"/>
      </w:tblGrid>
      <w:tr w:rsidR="002E3121" w:rsidTr="002E3121">
        <w:trPr>
          <w:trHeight w:val="309"/>
        </w:trPr>
        <w:tc>
          <w:tcPr>
            <w:tcW w:w="1886" w:type="dxa"/>
          </w:tcPr>
          <w:p w:rsidR="002E3121" w:rsidRDefault="002E3121" w:rsidP="002E3121">
            <w:pPr>
              <w:jc w:val="both"/>
            </w:pPr>
            <w:r>
              <w:t>Mg(NO</w:t>
            </w:r>
            <w:r w:rsidRPr="002E3121">
              <w:rPr>
                <w:vertAlign w:val="subscript"/>
              </w:rPr>
              <w:softHyphen/>
              <w:t>3</w:t>
            </w:r>
            <w:r>
              <w:softHyphen/>
              <w:t>)</w:t>
            </w:r>
            <w:r>
              <w:softHyphen/>
            </w:r>
            <w:r w:rsidRPr="002E3121">
              <w:rPr>
                <w:vertAlign w:val="subscript"/>
              </w:rPr>
              <w:t>2</w:t>
            </w:r>
          </w:p>
        </w:tc>
        <w:tc>
          <w:tcPr>
            <w:tcW w:w="1886" w:type="dxa"/>
          </w:tcPr>
          <w:p w:rsidR="002E3121" w:rsidRPr="002E3121" w:rsidRDefault="002E3121" w:rsidP="002E3121">
            <w:pPr>
              <w:jc w:val="both"/>
            </w:pPr>
            <w:r>
              <w:t>Mg(NO</w:t>
            </w:r>
            <w:r w:rsidRPr="002E3121">
              <w:rPr>
                <w:vertAlign w:val="subscript"/>
              </w:rPr>
              <w:softHyphen/>
              <w:t>3</w:t>
            </w:r>
            <w:r>
              <w:softHyphen/>
              <w:t>)</w:t>
            </w:r>
            <w:r>
              <w:softHyphen/>
            </w:r>
            <w:r w:rsidRPr="002E3121">
              <w:rPr>
                <w:vertAlign w:val="subscript"/>
              </w:rPr>
              <w:t>2</w:t>
            </w:r>
            <w:r>
              <w:t xml:space="preserve">  + Fe</w:t>
            </w:r>
          </w:p>
        </w:tc>
        <w:tc>
          <w:tcPr>
            <w:tcW w:w="1886" w:type="dxa"/>
          </w:tcPr>
          <w:p w:rsidR="002E3121" w:rsidRDefault="002E3121" w:rsidP="002E3121">
            <w:pPr>
              <w:jc w:val="both"/>
            </w:pPr>
            <w:r>
              <w:t>Mg(NO</w:t>
            </w:r>
            <w:r w:rsidRPr="002E3121">
              <w:rPr>
                <w:vertAlign w:val="subscript"/>
              </w:rPr>
              <w:softHyphen/>
              <w:t>3</w:t>
            </w:r>
            <w:r>
              <w:softHyphen/>
              <w:t>)</w:t>
            </w:r>
            <w:r>
              <w:softHyphen/>
            </w:r>
            <w:r w:rsidRPr="002E3121">
              <w:rPr>
                <w:vertAlign w:val="subscript"/>
              </w:rPr>
              <w:t>2</w:t>
            </w:r>
            <w:r>
              <w:rPr>
                <w:vertAlign w:val="subscript"/>
              </w:rPr>
              <w:t xml:space="preserve"> </w:t>
            </w:r>
            <w:r>
              <w:t>+ Cu</w:t>
            </w:r>
          </w:p>
        </w:tc>
        <w:tc>
          <w:tcPr>
            <w:tcW w:w="1886" w:type="dxa"/>
          </w:tcPr>
          <w:p w:rsidR="002E3121" w:rsidRDefault="002E3121" w:rsidP="002E3121">
            <w:pPr>
              <w:jc w:val="both"/>
            </w:pPr>
            <w:r>
              <w:t>Mg(NO</w:t>
            </w:r>
            <w:r w:rsidRPr="002E3121">
              <w:rPr>
                <w:vertAlign w:val="subscript"/>
              </w:rPr>
              <w:softHyphen/>
              <w:t>3</w:t>
            </w:r>
            <w:r>
              <w:softHyphen/>
              <w:t>)</w:t>
            </w:r>
            <w:r>
              <w:softHyphen/>
            </w:r>
            <w:r w:rsidRPr="002E3121">
              <w:rPr>
                <w:vertAlign w:val="subscript"/>
              </w:rPr>
              <w:t>2</w:t>
            </w:r>
            <w:r>
              <w:rPr>
                <w:vertAlign w:val="subscript"/>
              </w:rPr>
              <w:t xml:space="preserve"> </w:t>
            </w:r>
            <w:r>
              <w:t>+ Zn</w:t>
            </w:r>
          </w:p>
        </w:tc>
      </w:tr>
    </w:tbl>
    <w:p w:rsidR="002E3121" w:rsidRDefault="002E3121" w:rsidP="002E3121">
      <w:pPr>
        <w:jc w:val="both"/>
      </w:pPr>
    </w:p>
    <w:p w:rsidR="00D6661F" w:rsidRDefault="00D6661F" w:rsidP="002E3121">
      <w:pPr>
        <w:jc w:val="both"/>
      </w:pPr>
    </w:p>
    <w:p w:rsidR="00D6661F" w:rsidRDefault="00D6661F" w:rsidP="002E3121">
      <w:pPr>
        <w:jc w:val="both"/>
      </w:pPr>
    </w:p>
    <w:p w:rsidR="002E3121" w:rsidRDefault="002E3121" w:rsidP="002E3121">
      <w:pPr>
        <w:jc w:val="both"/>
      </w:pPr>
    </w:p>
    <w:p w:rsidR="002E3121" w:rsidRDefault="002E3121" w:rsidP="002E3121">
      <w:pPr>
        <w:jc w:val="both"/>
      </w:pPr>
      <w:r>
        <w:rPr>
          <w:noProof/>
          <w:lang w:val="en-US"/>
        </w:rPr>
        <w:drawing>
          <wp:inline distT="0" distB="0" distL="0" distR="0">
            <wp:extent cx="4716780" cy="2526275"/>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315_120359.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716780" cy="252627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886"/>
        <w:gridCol w:w="1886"/>
        <w:gridCol w:w="1886"/>
        <w:gridCol w:w="1886"/>
      </w:tblGrid>
      <w:tr w:rsidR="002E3121" w:rsidTr="003E3B2C">
        <w:trPr>
          <w:trHeight w:val="309"/>
        </w:trPr>
        <w:tc>
          <w:tcPr>
            <w:tcW w:w="1886" w:type="dxa"/>
          </w:tcPr>
          <w:p w:rsidR="002E3121" w:rsidRDefault="002E3121" w:rsidP="003E3B2C">
            <w:pPr>
              <w:jc w:val="both"/>
            </w:pPr>
            <w:r>
              <w:t>Fe</w:t>
            </w:r>
            <w:r>
              <w:t>(NO</w:t>
            </w:r>
            <w:r w:rsidRPr="002E3121">
              <w:rPr>
                <w:vertAlign w:val="subscript"/>
              </w:rPr>
              <w:softHyphen/>
              <w:t>3</w:t>
            </w:r>
            <w:r>
              <w:softHyphen/>
              <w:t>)</w:t>
            </w:r>
            <w:r>
              <w:softHyphen/>
            </w:r>
            <w:r>
              <w:rPr>
                <w:vertAlign w:val="subscript"/>
              </w:rPr>
              <w:t>3</w:t>
            </w:r>
          </w:p>
        </w:tc>
        <w:tc>
          <w:tcPr>
            <w:tcW w:w="1886" w:type="dxa"/>
          </w:tcPr>
          <w:p w:rsidR="002E3121" w:rsidRPr="002E3121" w:rsidRDefault="002E3121" w:rsidP="002E3121">
            <w:pPr>
              <w:jc w:val="both"/>
            </w:pPr>
            <w:r>
              <w:t>Fe(NO</w:t>
            </w:r>
            <w:r w:rsidRPr="002E3121">
              <w:rPr>
                <w:vertAlign w:val="subscript"/>
              </w:rPr>
              <w:softHyphen/>
              <w:t>3</w:t>
            </w:r>
            <w:r>
              <w:softHyphen/>
              <w:t>)</w:t>
            </w:r>
            <w:r>
              <w:softHyphen/>
            </w:r>
            <w:r>
              <w:rPr>
                <w:vertAlign w:val="subscript"/>
              </w:rPr>
              <w:t>3</w:t>
            </w:r>
            <w:r>
              <w:rPr>
                <w:vertAlign w:val="subscript"/>
              </w:rPr>
              <w:t xml:space="preserve"> </w:t>
            </w:r>
            <w:r>
              <w:t xml:space="preserve">+ </w:t>
            </w:r>
            <w:r>
              <w:t>Mg</w:t>
            </w:r>
          </w:p>
        </w:tc>
        <w:tc>
          <w:tcPr>
            <w:tcW w:w="1886" w:type="dxa"/>
          </w:tcPr>
          <w:p w:rsidR="002E3121" w:rsidRDefault="002E3121" w:rsidP="003E3B2C">
            <w:pPr>
              <w:jc w:val="both"/>
            </w:pPr>
            <w:r>
              <w:t>Fe(NO</w:t>
            </w:r>
            <w:r w:rsidRPr="002E3121">
              <w:rPr>
                <w:vertAlign w:val="subscript"/>
              </w:rPr>
              <w:softHyphen/>
              <w:t>3</w:t>
            </w:r>
            <w:r>
              <w:softHyphen/>
              <w:t>)</w:t>
            </w:r>
            <w:r>
              <w:softHyphen/>
            </w:r>
            <w:r>
              <w:rPr>
                <w:vertAlign w:val="subscript"/>
              </w:rPr>
              <w:t>3</w:t>
            </w:r>
            <w:r>
              <w:rPr>
                <w:vertAlign w:val="subscript"/>
              </w:rPr>
              <w:t xml:space="preserve"> </w:t>
            </w:r>
            <w:r>
              <w:t>+ Cu</w:t>
            </w:r>
          </w:p>
        </w:tc>
        <w:tc>
          <w:tcPr>
            <w:tcW w:w="1886" w:type="dxa"/>
          </w:tcPr>
          <w:p w:rsidR="002E3121" w:rsidRDefault="002E3121" w:rsidP="003E3B2C">
            <w:pPr>
              <w:jc w:val="both"/>
            </w:pPr>
            <w:r>
              <w:t>Fe(NO</w:t>
            </w:r>
            <w:r w:rsidRPr="002E3121">
              <w:rPr>
                <w:vertAlign w:val="subscript"/>
              </w:rPr>
              <w:softHyphen/>
              <w:t>3</w:t>
            </w:r>
            <w:r>
              <w:softHyphen/>
              <w:t>)</w:t>
            </w:r>
            <w:r>
              <w:softHyphen/>
            </w:r>
            <w:r>
              <w:rPr>
                <w:vertAlign w:val="subscript"/>
              </w:rPr>
              <w:t>3</w:t>
            </w:r>
            <w:r>
              <w:t>+ Zn</w:t>
            </w:r>
          </w:p>
        </w:tc>
      </w:tr>
    </w:tbl>
    <w:p w:rsidR="002E3121" w:rsidRDefault="002E3121" w:rsidP="002E3121">
      <w:pPr>
        <w:jc w:val="both"/>
      </w:pPr>
    </w:p>
    <w:p w:rsidR="002E3121" w:rsidRDefault="002E3121" w:rsidP="002E3121">
      <w:pPr>
        <w:jc w:val="both"/>
      </w:pPr>
    </w:p>
    <w:p w:rsidR="002E3121" w:rsidRDefault="002E3121" w:rsidP="002E3121">
      <w:pPr>
        <w:jc w:val="both"/>
      </w:pPr>
      <w:r>
        <w:rPr>
          <w:noProof/>
          <w:lang w:val="en-US"/>
        </w:rPr>
        <w:lastRenderedPageBreak/>
        <w:drawing>
          <wp:inline distT="0" distB="0" distL="0" distR="0">
            <wp:extent cx="4747260" cy="27502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315_120437.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747260" cy="275025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886"/>
        <w:gridCol w:w="1886"/>
        <w:gridCol w:w="1886"/>
        <w:gridCol w:w="1886"/>
      </w:tblGrid>
      <w:tr w:rsidR="002E3121" w:rsidTr="003E3B2C">
        <w:trPr>
          <w:trHeight w:val="309"/>
        </w:trPr>
        <w:tc>
          <w:tcPr>
            <w:tcW w:w="1886" w:type="dxa"/>
          </w:tcPr>
          <w:p w:rsidR="002E3121" w:rsidRDefault="00D6661F" w:rsidP="00D6661F">
            <w:pPr>
              <w:jc w:val="both"/>
            </w:pPr>
            <w:r>
              <w:t>Cu</w:t>
            </w:r>
            <w:r w:rsidR="002E3121">
              <w:t>(NO</w:t>
            </w:r>
            <w:r w:rsidR="002E3121" w:rsidRPr="002E3121">
              <w:rPr>
                <w:vertAlign w:val="subscript"/>
              </w:rPr>
              <w:softHyphen/>
              <w:t>3</w:t>
            </w:r>
            <w:r w:rsidR="002E3121">
              <w:softHyphen/>
              <w:t>)</w:t>
            </w:r>
            <w:r>
              <w:rPr>
                <w:vertAlign w:val="subscript"/>
              </w:rPr>
              <w:t>2</w:t>
            </w:r>
          </w:p>
        </w:tc>
        <w:tc>
          <w:tcPr>
            <w:tcW w:w="1886" w:type="dxa"/>
          </w:tcPr>
          <w:p w:rsidR="002E3121" w:rsidRPr="002E3121" w:rsidRDefault="00D6661F" w:rsidP="003E3B2C">
            <w:pPr>
              <w:jc w:val="both"/>
            </w:pPr>
            <w:r>
              <w:t>Cu(NO</w:t>
            </w:r>
            <w:r w:rsidRPr="002E3121">
              <w:rPr>
                <w:vertAlign w:val="subscript"/>
              </w:rPr>
              <w:softHyphen/>
              <w:t>3</w:t>
            </w:r>
            <w:r>
              <w:softHyphen/>
              <w:t>)</w:t>
            </w:r>
            <w:r>
              <w:rPr>
                <w:vertAlign w:val="subscript"/>
              </w:rPr>
              <w:t>2</w:t>
            </w:r>
            <w:r>
              <w:rPr>
                <w:vertAlign w:val="subscript"/>
              </w:rPr>
              <w:t xml:space="preserve"> </w:t>
            </w:r>
            <w:r w:rsidR="002E3121">
              <w:t>+ Mg</w:t>
            </w:r>
          </w:p>
        </w:tc>
        <w:tc>
          <w:tcPr>
            <w:tcW w:w="1886" w:type="dxa"/>
          </w:tcPr>
          <w:p w:rsidR="002E3121" w:rsidRDefault="00D6661F" w:rsidP="00D6661F">
            <w:pPr>
              <w:jc w:val="both"/>
            </w:pPr>
            <w:r>
              <w:t>Cu(NO</w:t>
            </w:r>
            <w:r w:rsidRPr="002E3121">
              <w:rPr>
                <w:vertAlign w:val="subscript"/>
              </w:rPr>
              <w:softHyphen/>
              <w:t>3</w:t>
            </w:r>
            <w:r>
              <w:softHyphen/>
              <w:t>)</w:t>
            </w:r>
            <w:r>
              <w:rPr>
                <w:vertAlign w:val="subscript"/>
              </w:rPr>
              <w:t>2</w:t>
            </w:r>
            <w:r>
              <w:rPr>
                <w:vertAlign w:val="subscript"/>
              </w:rPr>
              <w:t xml:space="preserve"> </w:t>
            </w:r>
            <w:r w:rsidR="002E3121">
              <w:t>+</w:t>
            </w:r>
            <w:r>
              <w:t xml:space="preserve"> Fe</w:t>
            </w:r>
          </w:p>
        </w:tc>
        <w:tc>
          <w:tcPr>
            <w:tcW w:w="1886" w:type="dxa"/>
          </w:tcPr>
          <w:p w:rsidR="002E3121" w:rsidRDefault="00D6661F" w:rsidP="003E3B2C">
            <w:pPr>
              <w:jc w:val="both"/>
            </w:pPr>
            <w:r>
              <w:t>Cu(NO</w:t>
            </w:r>
            <w:r w:rsidRPr="002E3121">
              <w:rPr>
                <w:vertAlign w:val="subscript"/>
              </w:rPr>
              <w:softHyphen/>
              <w:t>3</w:t>
            </w:r>
            <w:r>
              <w:softHyphen/>
              <w:t>)</w:t>
            </w:r>
            <w:r>
              <w:rPr>
                <w:vertAlign w:val="subscript"/>
              </w:rPr>
              <w:t>2</w:t>
            </w:r>
            <w:r>
              <w:rPr>
                <w:vertAlign w:val="subscript"/>
              </w:rPr>
              <w:t xml:space="preserve"> </w:t>
            </w:r>
            <w:r w:rsidR="002E3121">
              <w:t>+ Zn</w:t>
            </w:r>
          </w:p>
        </w:tc>
      </w:tr>
    </w:tbl>
    <w:p w:rsidR="002E3121" w:rsidRDefault="002E3121" w:rsidP="002E3121">
      <w:pPr>
        <w:jc w:val="both"/>
      </w:pPr>
    </w:p>
    <w:p w:rsidR="00D6661F" w:rsidRDefault="00D6661F" w:rsidP="002E3121">
      <w:pPr>
        <w:jc w:val="both"/>
      </w:pPr>
    </w:p>
    <w:p w:rsidR="00D6661F" w:rsidRDefault="00D6661F" w:rsidP="002E3121">
      <w:pPr>
        <w:jc w:val="both"/>
      </w:pPr>
    </w:p>
    <w:p w:rsidR="00D6661F" w:rsidRDefault="00D6661F" w:rsidP="002E3121">
      <w:pPr>
        <w:jc w:val="both"/>
      </w:pPr>
    </w:p>
    <w:p w:rsidR="00D6661F" w:rsidRDefault="00D6661F" w:rsidP="002E3121">
      <w:pPr>
        <w:jc w:val="both"/>
      </w:pPr>
      <w:r>
        <w:rPr>
          <w:noProof/>
          <w:lang w:val="en-US"/>
        </w:rPr>
        <w:drawing>
          <wp:inline distT="0" distB="0" distL="0" distR="0">
            <wp:extent cx="4709160" cy="26897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315_120511.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709160" cy="268973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886"/>
        <w:gridCol w:w="1886"/>
        <w:gridCol w:w="1886"/>
        <w:gridCol w:w="1886"/>
      </w:tblGrid>
      <w:tr w:rsidR="00D6661F" w:rsidTr="003E3B2C">
        <w:trPr>
          <w:trHeight w:val="309"/>
        </w:trPr>
        <w:tc>
          <w:tcPr>
            <w:tcW w:w="1886" w:type="dxa"/>
          </w:tcPr>
          <w:p w:rsidR="00D6661F" w:rsidRDefault="00D6661F" w:rsidP="003E3B2C">
            <w:pPr>
              <w:jc w:val="both"/>
            </w:pPr>
            <w:r>
              <w:t>Zn</w:t>
            </w:r>
            <w:r>
              <w:t>(NO</w:t>
            </w:r>
            <w:r w:rsidRPr="002E3121">
              <w:rPr>
                <w:vertAlign w:val="subscript"/>
              </w:rPr>
              <w:softHyphen/>
              <w:t>3</w:t>
            </w:r>
            <w:r>
              <w:softHyphen/>
              <w:t>)</w:t>
            </w:r>
            <w:r>
              <w:rPr>
                <w:vertAlign w:val="subscript"/>
              </w:rPr>
              <w:t>2</w:t>
            </w:r>
          </w:p>
        </w:tc>
        <w:tc>
          <w:tcPr>
            <w:tcW w:w="1886" w:type="dxa"/>
          </w:tcPr>
          <w:p w:rsidR="00D6661F" w:rsidRPr="002E3121" w:rsidRDefault="00D6661F" w:rsidP="00D6661F">
            <w:pPr>
              <w:jc w:val="both"/>
            </w:pPr>
            <w:r>
              <w:t xml:space="preserve">Zn </w:t>
            </w:r>
            <w:r>
              <w:t>(NO</w:t>
            </w:r>
            <w:r w:rsidRPr="002E3121">
              <w:rPr>
                <w:vertAlign w:val="subscript"/>
              </w:rPr>
              <w:softHyphen/>
              <w:t>3</w:t>
            </w:r>
            <w:r>
              <w:softHyphen/>
              <w:t>)</w:t>
            </w:r>
            <w:r>
              <w:rPr>
                <w:vertAlign w:val="subscript"/>
              </w:rPr>
              <w:t xml:space="preserve">2 </w:t>
            </w:r>
            <w:r>
              <w:t>+ Mg</w:t>
            </w:r>
          </w:p>
        </w:tc>
        <w:tc>
          <w:tcPr>
            <w:tcW w:w="1886" w:type="dxa"/>
          </w:tcPr>
          <w:p w:rsidR="00D6661F" w:rsidRDefault="00D6661F" w:rsidP="003E3B2C">
            <w:pPr>
              <w:jc w:val="both"/>
            </w:pPr>
            <w:r>
              <w:t>Zn</w:t>
            </w:r>
            <w:r>
              <w:t>(NO</w:t>
            </w:r>
            <w:r w:rsidRPr="002E3121">
              <w:rPr>
                <w:vertAlign w:val="subscript"/>
              </w:rPr>
              <w:softHyphen/>
              <w:t>3</w:t>
            </w:r>
            <w:r>
              <w:softHyphen/>
              <w:t>)</w:t>
            </w:r>
            <w:r>
              <w:rPr>
                <w:vertAlign w:val="subscript"/>
              </w:rPr>
              <w:t xml:space="preserve">2 </w:t>
            </w:r>
            <w:r>
              <w:t>+ Fe</w:t>
            </w:r>
          </w:p>
        </w:tc>
        <w:tc>
          <w:tcPr>
            <w:tcW w:w="1886" w:type="dxa"/>
          </w:tcPr>
          <w:p w:rsidR="00D6661F" w:rsidRDefault="00D6661F" w:rsidP="003E3B2C">
            <w:pPr>
              <w:jc w:val="both"/>
            </w:pPr>
            <w:r>
              <w:t>Zn</w:t>
            </w:r>
            <w:r>
              <w:t>(NO</w:t>
            </w:r>
            <w:r w:rsidRPr="002E3121">
              <w:rPr>
                <w:vertAlign w:val="subscript"/>
              </w:rPr>
              <w:softHyphen/>
              <w:t>3</w:t>
            </w:r>
            <w:r>
              <w:softHyphen/>
              <w:t>)</w:t>
            </w:r>
            <w:r>
              <w:rPr>
                <w:vertAlign w:val="subscript"/>
              </w:rPr>
              <w:t xml:space="preserve">2 </w:t>
            </w:r>
            <w:r>
              <w:t>+</w:t>
            </w:r>
            <w:r>
              <w:t xml:space="preserve"> Cu</w:t>
            </w:r>
          </w:p>
        </w:tc>
      </w:tr>
    </w:tbl>
    <w:p w:rsidR="00D6661F" w:rsidRDefault="00D6661F" w:rsidP="002E3121">
      <w:pPr>
        <w:jc w:val="both"/>
      </w:pPr>
    </w:p>
    <w:p w:rsidR="00D6661F" w:rsidRDefault="00D6661F" w:rsidP="002E3121">
      <w:pPr>
        <w:jc w:val="both"/>
      </w:pPr>
    </w:p>
    <w:p w:rsidR="00D6661F" w:rsidRDefault="00D6661F">
      <w:pPr>
        <w:spacing w:after="160"/>
      </w:pPr>
      <w:r>
        <w:br w:type="page"/>
      </w:r>
    </w:p>
    <w:p w:rsidR="00D6661F" w:rsidRDefault="00D6661F" w:rsidP="002E3121">
      <w:pPr>
        <w:jc w:val="both"/>
      </w:pPr>
      <w:r>
        <w:rPr>
          <w:noProof/>
          <w:lang w:val="en-US"/>
        </w:rPr>
        <w:lastRenderedPageBreak/>
        <w:drawing>
          <wp:inline distT="0" distB="0" distL="0" distR="0">
            <wp:extent cx="5364480" cy="435864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315_120819.jp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364480" cy="4358640"/>
                    </a:xfrm>
                    <a:prstGeom prst="rect">
                      <a:avLst/>
                    </a:prstGeom>
                    <a:ln>
                      <a:noFill/>
                    </a:ln>
                    <a:extLst>
                      <a:ext uri="{53640926-AAD7-44D8-BBD7-CCE9431645EC}">
                        <a14:shadowObscured xmlns:a14="http://schemas.microsoft.com/office/drawing/2010/main"/>
                      </a:ext>
                    </a:extLst>
                  </pic:spPr>
                </pic:pic>
              </a:graphicData>
            </a:graphic>
          </wp:inline>
        </w:drawing>
      </w:r>
    </w:p>
    <w:p w:rsidR="00D6661F" w:rsidRPr="002E3121" w:rsidRDefault="00D6661F" w:rsidP="002E3121">
      <w:pPr>
        <w:jc w:val="both"/>
      </w:pPr>
      <w:r>
        <w:t>Note</w:t>
      </w:r>
      <w:proofErr w:type="gramStart"/>
      <w:r>
        <w:t>,</w:t>
      </w:r>
      <w:proofErr w:type="gramEnd"/>
      <w:r>
        <w:t xml:space="preserve"> one metal does not react with the </w:t>
      </w:r>
      <w:proofErr w:type="spellStart"/>
      <w:r>
        <w:t>HCl</w:t>
      </w:r>
      <w:proofErr w:type="spellEnd"/>
      <w:r>
        <w:t>.</w:t>
      </w:r>
    </w:p>
    <w:sectPr w:rsidR="00D6661F" w:rsidRPr="002E3121" w:rsidSect="009065B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4EE" w:rsidRDefault="009474EE" w:rsidP="00EA07F1">
      <w:pPr>
        <w:spacing w:line="240" w:lineRule="auto"/>
      </w:pPr>
      <w:r>
        <w:separator/>
      </w:r>
    </w:p>
  </w:endnote>
  <w:endnote w:type="continuationSeparator" w:id="0">
    <w:p w:rsidR="009474EE" w:rsidRDefault="009474EE" w:rsidP="00EA0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038"/>
      <w:docPartObj>
        <w:docPartGallery w:val="Page Numbers (Bottom of Page)"/>
        <w:docPartUnique/>
      </w:docPartObj>
    </w:sdtPr>
    <w:sdtEndPr>
      <w:rPr>
        <w:noProof/>
      </w:rPr>
    </w:sdtEndPr>
    <w:sdtContent>
      <w:p w:rsidR="00EA07F1" w:rsidRDefault="00EA07F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A07F1" w:rsidRDefault="00EA0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4EE" w:rsidRDefault="009474EE" w:rsidP="00EA07F1">
      <w:pPr>
        <w:spacing w:line="240" w:lineRule="auto"/>
      </w:pPr>
      <w:r>
        <w:separator/>
      </w:r>
    </w:p>
  </w:footnote>
  <w:footnote w:type="continuationSeparator" w:id="0">
    <w:p w:rsidR="009474EE" w:rsidRDefault="009474EE" w:rsidP="00EA07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21"/>
    <w:rsid w:val="0002407A"/>
    <w:rsid w:val="002E3121"/>
    <w:rsid w:val="00706DE8"/>
    <w:rsid w:val="00813BCF"/>
    <w:rsid w:val="008966AC"/>
    <w:rsid w:val="009065B9"/>
    <w:rsid w:val="009474EE"/>
    <w:rsid w:val="00963C19"/>
    <w:rsid w:val="00CB192E"/>
    <w:rsid w:val="00D6661F"/>
    <w:rsid w:val="00EA07F1"/>
    <w:rsid w:val="00FC0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CF"/>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link w:val="FigureChar"/>
    <w:qFormat/>
    <w:rsid w:val="00FC04FC"/>
    <w:pPr>
      <w:jc w:val="both"/>
    </w:pPr>
    <w:rPr>
      <w:i/>
      <w:lang w:val="en-US"/>
    </w:rPr>
  </w:style>
  <w:style w:type="character" w:customStyle="1" w:styleId="FigureChar">
    <w:name w:val="Figure Char"/>
    <w:basedOn w:val="DefaultParagraphFont"/>
    <w:link w:val="Figure"/>
    <w:rsid w:val="00FC04FC"/>
    <w:rPr>
      <w:rFonts w:ascii="Times New Roman" w:hAnsi="Times New Roman" w:cs="Times New Roman"/>
      <w:i/>
      <w:szCs w:val="24"/>
    </w:rPr>
  </w:style>
  <w:style w:type="paragraph" w:styleId="BalloonText">
    <w:name w:val="Balloon Text"/>
    <w:basedOn w:val="Normal"/>
    <w:link w:val="BalloonTextChar"/>
    <w:uiPriority w:val="99"/>
    <w:semiHidden/>
    <w:unhideWhenUsed/>
    <w:rsid w:val="002E31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121"/>
    <w:rPr>
      <w:rFonts w:ascii="Tahoma" w:hAnsi="Tahoma" w:cs="Tahoma"/>
      <w:sz w:val="16"/>
      <w:szCs w:val="16"/>
    </w:rPr>
  </w:style>
  <w:style w:type="table" w:styleId="TableGrid">
    <w:name w:val="Table Grid"/>
    <w:basedOn w:val="TableNormal"/>
    <w:uiPriority w:val="59"/>
    <w:unhideWhenUsed/>
    <w:rsid w:val="002E3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07F1"/>
    <w:pPr>
      <w:tabs>
        <w:tab w:val="center" w:pos="4680"/>
        <w:tab w:val="right" w:pos="9360"/>
      </w:tabs>
      <w:spacing w:line="240" w:lineRule="auto"/>
    </w:pPr>
  </w:style>
  <w:style w:type="character" w:customStyle="1" w:styleId="HeaderChar">
    <w:name w:val="Header Char"/>
    <w:basedOn w:val="DefaultParagraphFont"/>
    <w:link w:val="Header"/>
    <w:uiPriority w:val="99"/>
    <w:rsid w:val="00EA07F1"/>
    <w:rPr>
      <w:rFonts w:ascii="Times New Roman" w:hAnsi="Times New Roman" w:cs="Times New Roman"/>
      <w:sz w:val="24"/>
      <w:szCs w:val="24"/>
    </w:rPr>
  </w:style>
  <w:style w:type="paragraph" w:styleId="Footer">
    <w:name w:val="footer"/>
    <w:basedOn w:val="Normal"/>
    <w:link w:val="FooterChar"/>
    <w:uiPriority w:val="99"/>
    <w:unhideWhenUsed/>
    <w:rsid w:val="00EA07F1"/>
    <w:pPr>
      <w:tabs>
        <w:tab w:val="center" w:pos="4680"/>
        <w:tab w:val="right" w:pos="9360"/>
      </w:tabs>
      <w:spacing w:line="240" w:lineRule="auto"/>
    </w:pPr>
  </w:style>
  <w:style w:type="character" w:customStyle="1" w:styleId="FooterChar">
    <w:name w:val="Footer Char"/>
    <w:basedOn w:val="DefaultParagraphFont"/>
    <w:link w:val="Footer"/>
    <w:uiPriority w:val="99"/>
    <w:rsid w:val="00EA07F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CF"/>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link w:val="FigureChar"/>
    <w:qFormat/>
    <w:rsid w:val="00FC04FC"/>
    <w:pPr>
      <w:jc w:val="both"/>
    </w:pPr>
    <w:rPr>
      <w:i/>
      <w:lang w:val="en-US"/>
    </w:rPr>
  </w:style>
  <w:style w:type="character" w:customStyle="1" w:styleId="FigureChar">
    <w:name w:val="Figure Char"/>
    <w:basedOn w:val="DefaultParagraphFont"/>
    <w:link w:val="Figure"/>
    <w:rsid w:val="00FC04FC"/>
    <w:rPr>
      <w:rFonts w:ascii="Times New Roman" w:hAnsi="Times New Roman" w:cs="Times New Roman"/>
      <w:i/>
      <w:szCs w:val="24"/>
    </w:rPr>
  </w:style>
  <w:style w:type="paragraph" w:styleId="BalloonText">
    <w:name w:val="Balloon Text"/>
    <w:basedOn w:val="Normal"/>
    <w:link w:val="BalloonTextChar"/>
    <w:uiPriority w:val="99"/>
    <w:semiHidden/>
    <w:unhideWhenUsed/>
    <w:rsid w:val="002E31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121"/>
    <w:rPr>
      <w:rFonts w:ascii="Tahoma" w:hAnsi="Tahoma" w:cs="Tahoma"/>
      <w:sz w:val="16"/>
      <w:szCs w:val="16"/>
    </w:rPr>
  </w:style>
  <w:style w:type="table" w:styleId="TableGrid">
    <w:name w:val="Table Grid"/>
    <w:basedOn w:val="TableNormal"/>
    <w:uiPriority w:val="59"/>
    <w:unhideWhenUsed/>
    <w:rsid w:val="002E3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07F1"/>
    <w:pPr>
      <w:tabs>
        <w:tab w:val="center" w:pos="4680"/>
        <w:tab w:val="right" w:pos="9360"/>
      </w:tabs>
      <w:spacing w:line="240" w:lineRule="auto"/>
    </w:pPr>
  </w:style>
  <w:style w:type="character" w:customStyle="1" w:styleId="HeaderChar">
    <w:name w:val="Header Char"/>
    <w:basedOn w:val="DefaultParagraphFont"/>
    <w:link w:val="Header"/>
    <w:uiPriority w:val="99"/>
    <w:rsid w:val="00EA07F1"/>
    <w:rPr>
      <w:rFonts w:ascii="Times New Roman" w:hAnsi="Times New Roman" w:cs="Times New Roman"/>
      <w:sz w:val="24"/>
      <w:szCs w:val="24"/>
    </w:rPr>
  </w:style>
  <w:style w:type="paragraph" w:styleId="Footer">
    <w:name w:val="footer"/>
    <w:basedOn w:val="Normal"/>
    <w:link w:val="FooterChar"/>
    <w:uiPriority w:val="99"/>
    <w:unhideWhenUsed/>
    <w:rsid w:val="00EA07F1"/>
    <w:pPr>
      <w:tabs>
        <w:tab w:val="center" w:pos="4680"/>
        <w:tab w:val="right" w:pos="9360"/>
      </w:tabs>
      <w:spacing w:line="240" w:lineRule="auto"/>
    </w:pPr>
  </w:style>
  <w:style w:type="character" w:customStyle="1" w:styleId="FooterChar">
    <w:name w:val="Footer Char"/>
    <w:basedOn w:val="DefaultParagraphFont"/>
    <w:link w:val="Footer"/>
    <w:uiPriority w:val="99"/>
    <w:rsid w:val="00EA07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Stewart</dc:creator>
  <cp:lastModifiedBy>K Stewart</cp:lastModifiedBy>
  <cp:revision>3</cp:revision>
  <dcterms:created xsi:type="dcterms:W3CDTF">2020-03-15T21:14:00Z</dcterms:created>
  <dcterms:modified xsi:type="dcterms:W3CDTF">2020-03-15T21:31:00Z</dcterms:modified>
</cp:coreProperties>
</file>